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4B" w:rsidRDefault="0048744B" w:rsidP="0048744B">
      <w:pPr>
        <w:pStyle w:val="Nzov"/>
        <w:tabs>
          <w:tab w:val="left" w:pos="1457"/>
          <w:tab w:val="center" w:pos="4153"/>
        </w:tabs>
        <w:rPr>
          <w:rFonts w:cs="Calibri"/>
          <w:bCs w:val="0"/>
          <w:noProof/>
          <w:sz w:val="22"/>
          <w:szCs w:val="2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-381635</wp:posOffset>
            </wp:positionV>
            <wp:extent cx="1028700" cy="1285875"/>
            <wp:effectExtent l="0" t="0" r="0" b="9525"/>
            <wp:wrapThrough wrapText="bothSides">
              <wp:wrapPolygon edited="0">
                <wp:start x="0" y="0"/>
                <wp:lineTo x="0" y="21440"/>
                <wp:lineTo x="21200" y="21440"/>
                <wp:lineTo x="21200" y="0"/>
                <wp:lineTo x="0" y="0"/>
              </wp:wrapPolygon>
            </wp:wrapThrough>
            <wp:docPr id="2" name="Obrázok 2" descr="Erb Nitrianskeho Samosprávneho K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Nitrianskeho Samosprávneho Kra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D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0.05pt;margin-top:-28.2pt;width:76.4pt;height:92.3pt;z-index:251660288;mso-position-horizontal-relative:text;mso-position-vertical-relative:text" o:allowoverlap="f">
            <v:imagedata r:id="rId8" o:title=""/>
          </v:shape>
          <o:OLEObject Type="Embed" ProgID="CorelDraw.Graphic.16" ShapeID="_x0000_s1027" DrawAspect="Content" ObjectID="_1468755541" r:id="rId9"/>
        </w:pict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-368300</wp:posOffset>
            </wp:positionV>
            <wp:extent cx="112903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138" y="21347"/>
                <wp:lineTo x="2113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0F2B11" w:rsidRDefault="000F2B11" w:rsidP="00524E8B">
      <w:pPr>
        <w:spacing w:line="360" w:lineRule="auto"/>
        <w:jc w:val="both"/>
        <w:rPr>
          <w:rStyle w:val="st"/>
          <w:b/>
        </w:rPr>
      </w:pPr>
    </w:p>
    <w:p w:rsidR="000F2B11" w:rsidRDefault="000F2B11" w:rsidP="00524E8B">
      <w:pPr>
        <w:spacing w:line="360" w:lineRule="auto"/>
        <w:jc w:val="both"/>
        <w:rPr>
          <w:rStyle w:val="st"/>
          <w:b/>
        </w:rPr>
      </w:pPr>
    </w:p>
    <w:p w:rsidR="000F2B11" w:rsidRDefault="000F2B11" w:rsidP="00524E8B">
      <w:pPr>
        <w:spacing w:line="360" w:lineRule="auto"/>
        <w:jc w:val="both"/>
        <w:rPr>
          <w:rStyle w:val="st"/>
          <w:b/>
        </w:rPr>
      </w:pPr>
    </w:p>
    <w:p w:rsidR="000F2B11" w:rsidRDefault="000F2B11" w:rsidP="00524E8B">
      <w:pPr>
        <w:spacing w:line="360" w:lineRule="auto"/>
        <w:jc w:val="both"/>
        <w:rPr>
          <w:rStyle w:val="st"/>
          <w:b/>
        </w:rPr>
      </w:pPr>
    </w:p>
    <w:sdt>
      <w:sdtPr>
        <w:rPr>
          <w:rFonts w:asciiTheme="majorHAnsi" w:eastAsiaTheme="majorEastAsia" w:hAnsiTheme="majorHAnsi" w:cstheme="majorBidi"/>
          <w:sz w:val="80"/>
          <w:szCs w:val="80"/>
          <w:lang w:val="sk-SK" w:eastAsia="sk-SK"/>
        </w:rPr>
        <w:id w:val="144388162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sz w:val="20"/>
          <w:szCs w:val="2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524E8B" w:rsidTr="0025395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  <w:lang w:val="sk-SK" w:eastAsia="sk-SK"/>
                </w:rPr>
                <w:alias w:val="Náz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GB" w:eastAsia="en-GB"/>
                </w:rPr>
              </w:sdtEnd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24E8B" w:rsidRDefault="003215E1" w:rsidP="003215E1">
                    <w:pPr>
                      <w:pStyle w:val="Bezriadkovani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Realizované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projekty</w:t>
                    </w:r>
                    <w:proofErr w:type="spellEnd"/>
                  </w:p>
                </w:tc>
              </w:sdtContent>
            </w:sdt>
          </w:tr>
          <w:tr w:rsidR="00524E8B" w:rsidTr="0025395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Podnadpis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24E8B" w:rsidRDefault="003215E1" w:rsidP="003215E1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524E8B" w:rsidTr="0025395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24E8B" w:rsidRDefault="00524E8B" w:rsidP="00253954">
                <w:pPr>
                  <w:pStyle w:val="Bezriadkovania"/>
                  <w:jc w:val="center"/>
                </w:pPr>
              </w:p>
            </w:tc>
          </w:tr>
          <w:tr w:rsidR="00524E8B" w:rsidTr="002539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24E8B" w:rsidRDefault="00524E8B" w:rsidP="00524E8B">
                    <w:pPr>
                      <w:pStyle w:val="Bezriadkovani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MAS Csángó</w:t>
                    </w:r>
                  </w:p>
                </w:tc>
              </w:sdtContent>
            </w:sdt>
          </w:tr>
          <w:tr w:rsidR="00524E8B" w:rsidTr="0025395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átum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1-13T00:00:00Z">
                  <w:dateFormat w:val="d.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24E8B" w:rsidRDefault="00702FE8" w:rsidP="00524E8B">
                    <w:pPr>
                      <w:pStyle w:val="Bezriadkovania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sk-SK"/>
                      </w:rPr>
                      <w:t>13</w:t>
                    </w:r>
                    <w:r w:rsidR="00F516B5">
                      <w:rPr>
                        <w:b/>
                        <w:bCs/>
                        <w:lang w:val="sk-SK"/>
                      </w:rPr>
                      <w:t>.1.2014</w:t>
                    </w:r>
                  </w:p>
                </w:tc>
              </w:sdtContent>
            </w:sdt>
          </w:tr>
        </w:tbl>
        <w:p w:rsidR="00524E8B" w:rsidRDefault="00524E8B" w:rsidP="00524E8B"/>
        <w:p w:rsidR="00524E8B" w:rsidRDefault="00524E8B" w:rsidP="00524E8B"/>
        <w:p w:rsidR="00524E8B" w:rsidRDefault="00524E8B" w:rsidP="00524E8B"/>
        <w:p w:rsidR="00524E8B" w:rsidRDefault="00524E8B" w:rsidP="00524E8B">
          <w:pPr>
            <w:spacing w:after="200" w:line="276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Pr="00ED5BD9" w:rsidRDefault="00524E8B" w:rsidP="00524E8B">
      <w:pPr>
        <w:spacing w:line="360" w:lineRule="auto"/>
        <w:jc w:val="both"/>
        <w:rPr>
          <w:rStyle w:val="st"/>
        </w:rPr>
      </w:pPr>
      <w:r w:rsidRPr="00524E8B">
        <w:rPr>
          <w:rStyle w:val="st"/>
          <w:b/>
          <w:i/>
        </w:rPr>
        <w:t>Počet podporených projektov</w:t>
      </w:r>
      <w:r w:rsidRPr="00ED5BD9">
        <w:rPr>
          <w:rStyle w:val="st"/>
        </w:rPr>
        <w:t xml:space="preserve"> v rámci aktivity 1.1 Úprava verejných priestranstiev vrátanie obnovy a budovan</w:t>
      </w:r>
      <w:r w:rsidR="00EB7485">
        <w:rPr>
          <w:rStyle w:val="st"/>
        </w:rPr>
        <w:t>ia zelených a oddychových zón: 5 projektov</w:t>
      </w:r>
      <w:r w:rsidRPr="00ED5BD9">
        <w:rPr>
          <w:rStyle w:val="st"/>
        </w:rPr>
        <w:t xml:space="preserve">.  </w:t>
      </w:r>
    </w:p>
    <w:p w:rsidR="00524E8B" w:rsidRDefault="00524E8B" w:rsidP="00524E8B">
      <w:pPr>
        <w:spacing w:line="360" w:lineRule="auto"/>
        <w:jc w:val="both"/>
        <w:rPr>
          <w:rStyle w:val="st"/>
          <w:b/>
        </w:rPr>
      </w:pPr>
    </w:p>
    <w:p w:rsidR="00524E8B" w:rsidRPr="00ED5BD9" w:rsidRDefault="00524E8B" w:rsidP="00524E8B">
      <w:pPr>
        <w:spacing w:line="360" w:lineRule="auto"/>
        <w:jc w:val="both"/>
        <w:rPr>
          <w:rStyle w:val="st"/>
        </w:rPr>
      </w:pPr>
      <w:r w:rsidRPr="00524E8B">
        <w:rPr>
          <w:rStyle w:val="st"/>
          <w:b/>
          <w:i/>
        </w:rPr>
        <w:t>Počet podporených konečných užívateľov</w:t>
      </w:r>
      <w:r w:rsidRPr="00ED5BD9">
        <w:rPr>
          <w:rStyle w:val="st"/>
        </w:rPr>
        <w:t xml:space="preserve"> celkovo, roz</w:t>
      </w:r>
      <w:r w:rsidR="00F516B5">
        <w:rPr>
          <w:rStyle w:val="st"/>
        </w:rPr>
        <w:t>delených podľa typu žiadateľa: 5</w:t>
      </w:r>
      <w:r w:rsidR="00EB7485">
        <w:rPr>
          <w:rStyle w:val="st"/>
        </w:rPr>
        <w:t xml:space="preserve"> obcí</w:t>
      </w:r>
      <w:r w:rsidRPr="00ED5BD9">
        <w:rPr>
          <w:rStyle w:val="st"/>
        </w:rPr>
        <w:t xml:space="preserve"> (</w:t>
      </w:r>
      <w:r w:rsidR="00F516B5">
        <w:rPr>
          <w:rStyle w:val="st"/>
        </w:rPr>
        <w:t xml:space="preserve">Obec Diakovce, </w:t>
      </w:r>
      <w:r w:rsidRPr="00ED5BD9">
        <w:rPr>
          <w:rStyle w:val="st"/>
        </w:rPr>
        <w:t xml:space="preserve">Obec Tešedíkovo, Obec Žihárec, Obec Vlčany a Obec Neded). </w:t>
      </w:r>
    </w:p>
    <w:p w:rsidR="00524E8B" w:rsidRDefault="00524E8B" w:rsidP="00524E8B">
      <w:pPr>
        <w:spacing w:line="360" w:lineRule="auto"/>
        <w:jc w:val="both"/>
        <w:rPr>
          <w:rStyle w:val="st"/>
        </w:rPr>
      </w:pPr>
    </w:p>
    <w:p w:rsidR="00524E8B" w:rsidRPr="00ED5BD9" w:rsidRDefault="00524E8B" w:rsidP="00524E8B">
      <w:pPr>
        <w:spacing w:line="360" w:lineRule="auto"/>
        <w:jc w:val="both"/>
        <w:rPr>
          <w:rStyle w:val="st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51"/>
        <w:gridCol w:w="3297"/>
        <w:gridCol w:w="2084"/>
        <w:gridCol w:w="1956"/>
      </w:tblGrid>
      <w:tr w:rsidR="00524E8B" w:rsidRPr="00ED5BD9" w:rsidTr="00253954">
        <w:tc>
          <w:tcPr>
            <w:tcW w:w="1951" w:type="dxa"/>
            <w:vAlign w:val="center"/>
          </w:tcPr>
          <w:p w:rsidR="00524E8B" w:rsidRPr="00ED5BD9" w:rsidRDefault="00524E8B" w:rsidP="00253954">
            <w:pPr>
              <w:spacing w:line="360" w:lineRule="auto"/>
              <w:jc w:val="center"/>
              <w:rPr>
                <w:b/>
                <w:i/>
                <w:lang w:val="sk-SK"/>
              </w:rPr>
            </w:pPr>
            <w:r w:rsidRPr="00ED5BD9">
              <w:rPr>
                <w:b/>
                <w:i/>
                <w:lang w:val="sk-SK"/>
              </w:rPr>
              <w:t>Opatrenie</w:t>
            </w:r>
          </w:p>
        </w:tc>
        <w:tc>
          <w:tcPr>
            <w:tcW w:w="3297" w:type="dxa"/>
            <w:vAlign w:val="center"/>
          </w:tcPr>
          <w:p w:rsidR="00524E8B" w:rsidRPr="00ED5BD9" w:rsidRDefault="00524E8B" w:rsidP="00253954">
            <w:pPr>
              <w:spacing w:line="360" w:lineRule="auto"/>
              <w:jc w:val="center"/>
              <w:rPr>
                <w:b/>
                <w:i/>
                <w:lang w:val="sk-SK"/>
              </w:rPr>
            </w:pPr>
            <w:r w:rsidRPr="00ED5BD9">
              <w:rPr>
                <w:b/>
                <w:i/>
                <w:lang w:val="sk-SK"/>
              </w:rPr>
              <w:t>Názov projektu</w:t>
            </w:r>
          </w:p>
        </w:tc>
        <w:tc>
          <w:tcPr>
            <w:tcW w:w="2084" w:type="dxa"/>
            <w:vAlign w:val="center"/>
          </w:tcPr>
          <w:p w:rsidR="00524E8B" w:rsidRPr="00ED5BD9" w:rsidRDefault="00524E8B" w:rsidP="00253954">
            <w:pPr>
              <w:spacing w:line="360" w:lineRule="auto"/>
              <w:jc w:val="center"/>
              <w:rPr>
                <w:b/>
                <w:i/>
                <w:lang w:val="sk-SK"/>
              </w:rPr>
            </w:pPr>
            <w:r w:rsidRPr="00ED5BD9">
              <w:rPr>
                <w:b/>
                <w:i/>
                <w:lang w:val="sk-SK"/>
              </w:rPr>
              <w:t>Celkové oprávnené výdavky (EUR)</w:t>
            </w:r>
          </w:p>
        </w:tc>
        <w:tc>
          <w:tcPr>
            <w:tcW w:w="1956" w:type="dxa"/>
            <w:vAlign w:val="center"/>
          </w:tcPr>
          <w:p w:rsidR="00524E8B" w:rsidRPr="00ED5BD9" w:rsidRDefault="00524E8B" w:rsidP="00253954">
            <w:pPr>
              <w:spacing w:line="360" w:lineRule="auto"/>
              <w:jc w:val="center"/>
              <w:rPr>
                <w:b/>
                <w:i/>
                <w:lang w:val="sk-SK"/>
              </w:rPr>
            </w:pPr>
            <w:r w:rsidRPr="00ED5BD9">
              <w:rPr>
                <w:b/>
                <w:i/>
                <w:lang w:val="sk-SK"/>
              </w:rPr>
              <w:t>Dotácia NSK (EUR)</w:t>
            </w:r>
          </w:p>
        </w:tc>
      </w:tr>
      <w:tr w:rsidR="00524E8B" w:rsidRPr="00ED5BD9" w:rsidTr="00253954">
        <w:tc>
          <w:tcPr>
            <w:tcW w:w="1951" w:type="dxa"/>
          </w:tcPr>
          <w:p w:rsidR="00524E8B" w:rsidRPr="00ED5BD9" w:rsidRDefault="00524E8B" w:rsidP="00524E8B">
            <w:pPr>
              <w:pStyle w:val="Odsekzoznamu"/>
              <w:numPr>
                <w:ilvl w:val="0"/>
                <w:numId w:val="1"/>
              </w:numPr>
              <w:tabs>
                <w:tab w:val="left" w:pos="426"/>
              </w:tabs>
              <w:spacing w:before="0" w:after="0" w:line="360" w:lineRule="auto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D5B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Obnova obcí</w:t>
            </w:r>
          </w:p>
        </w:tc>
        <w:tc>
          <w:tcPr>
            <w:tcW w:w="3297" w:type="dxa"/>
          </w:tcPr>
          <w:p w:rsidR="00524E8B" w:rsidRPr="00EB7485" w:rsidRDefault="00EB7485" w:rsidP="00253954">
            <w:pPr>
              <w:spacing w:line="360" w:lineRule="auto"/>
              <w:rPr>
                <w:lang w:val="sk-SK"/>
              </w:rPr>
            </w:pPr>
            <w:r w:rsidRPr="00EB7485">
              <w:t xml:space="preserve">Výstavba </w:t>
            </w:r>
            <w:proofErr w:type="spellStart"/>
            <w:r w:rsidRPr="00EB7485">
              <w:t>chodníka</w:t>
            </w:r>
            <w:proofErr w:type="spellEnd"/>
            <w:r w:rsidRPr="00EB7485">
              <w:t xml:space="preserve"> a </w:t>
            </w:r>
            <w:proofErr w:type="spellStart"/>
            <w:r w:rsidRPr="00EB7485">
              <w:t>spevnenej</w:t>
            </w:r>
            <w:proofErr w:type="spellEnd"/>
            <w:r w:rsidRPr="00EB7485">
              <w:t xml:space="preserve"> plochy v obci </w:t>
            </w:r>
            <w:proofErr w:type="spellStart"/>
            <w:r w:rsidRPr="00EB7485">
              <w:t>Žihárec</w:t>
            </w:r>
            <w:proofErr w:type="spellEnd"/>
            <w:r w:rsidRPr="00EB7485">
              <w:t xml:space="preserve"> – II. etapa</w:t>
            </w:r>
          </w:p>
        </w:tc>
        <w:tc>
          <w:tcPr>
            <w:tcW w:w="2084" w:type="dxa"/>
            <w:vAlign w:val="center"/>
          </w:tcPr>
          <w:p w:rsidR="00524E8B" w:rsidRPr="00ED5BD9" w:rsidRDefault="00791076" w:rsidP="00253954">
            <w:pPr>
              <w:spacing w:line="360" w:lineRule="auto"/>
              <w:jc w:val="right"/>
              <w:rPr>
                <w:lang w:val="sk-SK"/>
              </w:rPr>
            </w:pPr>
            <w:r>
              <w:rPr>
                <w:lang w:val="sk-SK"/>
              </w:rPr>
              <w:t>3010,53</w:t>
            </w:r>
          </w:p>
        </w:tc>
        <w:tc>
          <w:tcPr>
            <w:tcW w:w="1956" w:type="dxa"/>
            <w:vAlign w:val="center"/>
          </w:tcPr>
          <w:p w:rsidR="00524E8B" w:rsidRPr="00ED5BD9" w:rsidRDefault="00EB7485" w:rsidP="00253954">
            <w:pPr>
              <w:spacing w:line="360" w:lineRule="auto"/>
              <w:jc w:val="right"/>
              <w:rPr>
                <w:lang w:val="sk-SK"/>
              </w:rPr>
            </w:pPr>
            <w:r>
              <w:rPr>
                <w:lang w:val="sk-SK"/>
              </w:rPr>
              <w:t>2860,00</w:t>
            </w:r>
          </w:p>
        </w:tc>
      </w:tr>
      <w:tr w:rsidR="00524E8B" w:rsidRPr="00ED5BD9" w:rsidTr="00253954">
        <w:tc>
          <w:tcPr>
            <w:tcW w:w="1951" w:type="dxa"/>
          </w:tcPr>
          <w:p w:rsidR="00524E8B" w:rsidRPr="00ED5BD9" w:rsidRDefault="00524E8B" w:rsidP="00524E8B">
            <w:pPr>
              <w:pStyle w:val="Odsekzoznamu"/>
              <w:numPr>
                <w:ilvl w:val="0"/>
                <w:numId w:val="2"/>
              </w:numPr>
              <w:spacing w:before="0"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D5B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Obnova obcí</w:t>
            </w:r>
          </w:p>
        </w:tc>
        <w:tc>
          <w:tcPr>
            <w:tcW w:w="3297" w:type="dxa"/>
          </w:tcPr>
          <w:p w:rsidR="00EB7485" w:rsidRPr="00EB7485" w:rsidRDefault="00EB7485" w:rsidP="00EB7485">
            <w:r w:rsidRPr="00EB7485">
              <w:t xml:space="preserve">Výstavba </w:t>
            </w:r>
            <w:proofErr w:type="spellStart"/>
            <w:r w:rsidRPr="00EB7485">
              <w:t>chodníka</w:t>
            </w:r>
            <w:proofErr w:type="spellEnd"/>
            <w:r w:rsidRPr="00EB7485">
              <w:t xml:space="preserve"> v obci </w:t>
            </w:r>
            <w:proofErr w:type="spellStart"/>
            <w:r w:rsidRPr="00EB7485">
              <w:t>Neded</w:t>
            </w:r>
            <w:proofErr w:type="spellEnd"/>
          </w:p>
          <w:p w:rsidR="00524E8B" w:rsidRPr="00EB7485" w:rsidRDefault="00524E8B" w:rsidP="00253954">
            <w:pPr>
              <w:spacing w:line="360" w:lineRule="auto"/>
              <w:rPr>
                <w:lang w:val="sk-SK"/>
              </w:rPr>
            </w:pPr>
          </w:p>
        </w:tc>
        <w:tc>
          <w:tcPr>
            <w:tcW w:w="2084" w:type="dxa"/>
            <w:vAlign w:val="center"/>
          </w:tcPr>
          <w:p w:rsidR="00524E8B" w:rsidRPr="00ED5BD9" w:rsidRDefault="00791076" w:rsidP="00791076">
            <w:pPr>
              <w:pStyle w:val="Odsekzoznamu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3052,64</w:t>
            </w:r>
          </w:p>
        </w:tc>
        <w:tc>
          <w:tcPr>
            <w:tcW w:w="1956" w:type="dxa"/>
            <w:vAlign w:val="center"/>
          </w:tcPr>
          <w:p w:rsidR="00524E8B" w:rsidRPr="00ED5BD9" w:rsidRDefault="00EB7485" w:rsidP="00253954">
            <w:pPr>
              <w:pStyle w:val="Odsekzoznamu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2900,00</w:t>
            </w:r>
          </w:p>
        </w:tc>
      </w:tr>
      <w:tr w:rsidR="00524E8B" w:rsidRPr="00ED5BD9" w:rsidTr="00253954">
        <w:tc>
          <w:tcPr>
            <w:tcW w:w="1951" w:type="dxa"/>
          </w:tcPr>
          <w:p w:rsidR="00524E8B" w:rsidRPr="00ED5BD9" w:rsidRDefault="00524E8B" w:rsidP="00524E8B">
            <w:pPr>
              <w:pStyle w:val="Odsekzoznamu"/>
              <w:numPr>
                <w:ilvl w:val="0"/>
                <w:numId w:val="3"/>
              </w:numPr>
              <w:tabs>
                <w:tab w:val="left" w:pos="426"/>
              </w:tabs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D5B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Obnova obcí</w:t>
            </w:r>
          </w:p>
        </w:tc>
        <w:tc>
          <w:tcPr>
            <w:tcW w:w="3297" w:type="dxa"/>
          </w:tcPr>
          <w:p w:rsidR="00EB7485" w:rsidRPr="00EB7485" w:rsidRDefault="00EB7485" w:rsidP="00EB7485">
            <w:proofErr w:type="spellStart"/>
            <w:r w:rsidRPr="00EB7485">
              <w:t>Rekonštrukcia</w:t>
            </w:r>
            <w:proofErr w:type="spellEnd"/>
            <w:r w:rsidRPr="00EB7485">
              <w:t xml:space="preserve"> </w:t>
            </w:r>
            <w:proofErr w:type="spellStart"/>
            <w:r w:rsidRPr="00EB7485">
              <w:t>chodníka</w:t>
            </w:r>
            <w:proofErr w:type="spellEnd"/>
            <w:r w:rsidRPr="00EB7485">
              <w:t xml:space="preserve"> v obci </w:t>
            </w:r>
            <w:proofErr w:type="spellStart"/>
            <w:r w:rsidRPr="00EB7485">
              <w:t>Tešedíkovo</w:t>
            </w:r>
            <w:proofErr w:type="spellEnd"/>
          </w:p>
          <w:p w:rsidR="00524E8B" w:rsidRPr="00EB7485" w:rsidRDefault="00524E8B" w:rsidP="00253954">
            <w:pPr>
              <w:spacing w:line="360" w:lineRule="auto"/>
              <w:rPr>
                <w:lang w:val="sk-SK"/>
              </w:rPr>
            </w:pPr>
          </w:p>
        </w:tc>
        <w:tc>
          <w:tcPr>
            <w:tcW w:w="2084" w:type="dxa"/>
            <w:vAlign w:val="center"/>
          </w:tcPr>
          <w:p w:rsidR="00524E8B" w:rsidRPr="00ED5BD9" w:rsidRDefault="00791076" w:rsidP="00253954">
            <w:pPr>
              <w:spacing w:line="360" w:lineRule="auto"/>
              <w:jc w:val="right"/>
              <w:rPr>
                <w:lang w:val="sk-SK"/>
              </w:rPr>
            </w:pPr>
            <w:r>
              <w:rPr>
                <w:lang w:val="sk-SK"/>
              </w:rPr>
              <w:t>3042,11</w:t>
            </w:r>
          </w:p>
        </w:tc>
        <w:tc>
          <w:tcPr>
            <w:tcW w:w="1956" w:type="dxa"/>
            <w:vAlign w:val="center"/>
          </w:tcPr>
          <w:p w:rsidR="00524E8B" w:rsidRPr="00ED5BD9" w:rsidRDefault="00EB7485" w:rsidP="00253954">
            <w:pPr>
              <w:pStyle w:val="Odsekzoznamu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2890,00</w:t>
            </w:r>
          </w:p>
        </w:tc>
      </w:tr>
      <w:tr w:rsidR="00524E8B" w:rsidRPr="00ED5BD9" w:rsidTr="00253954">
        <w:tc>
          <w:tcPr>
            <w:tcW w:w="1951" w:type="dxa"/>
          </w:tcPr>
          <w:p w:rsidR="00524E8B" w:rsidRPr="00ED5BD9" w:rsidRDefault="00524E8B" w:rsidP="00524E8B">
            <w:pPr>
              <w:pStyle w:val="Odsekzoznamu"/>
              <w:numPr>
                <w:ilvl w:val="0"/>
                <w:numId w:val="4"/>
              </w:numPr>
              <w:spacing w:before="0" w:after="0" w:line="36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ED5BD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Obnova obcí</w:t>
            </w:r>
          </w:p>
        </w:tc>
        <w:tc>
          <w:tcPr>
            <w:tcW w:w="3297" w:type="dxa"/>
          </w:tcPr>
          <w:p w:rsidR="00EB7485" w:rsidRPr="00EB7485" w:rsidRDefault="00EB7485" w:rsidP="00EB7485">
            <w:proofErr w:type="spellStart"/>
            <w:r w:rsidRPr="00EB7485">
              <w:t>Revitalizácia</w:t>
            </w:r>
            <w:proofErr w:type="spellEnd"/>
            <w:r w:rsidRPr="00EB7485">
              <w:t xml:space="preserve"> parku v </w:t>
            </w:r>
            <w:proofErr w:type="spellStart"/>
            <w:r w:rsidRPr="00EB7485">
              <w:t>historickom</w:t>
            </w:r>
            <w:proofErr w:type="spellEnd"/>
            <w:r w:rsidRPr="00EB7485">
              <w:t xml:space="preserve"> centre obce </w:t>
            </w:r>
            <w:proofErr w:type="spellStart"/>
            <w:r w:rsidRPr="00EB7485">
              <w:t>Vlčany</w:t>
            </w:r>
            <w:proofErr w:type="spellEnd"/>
          </w:p>
          <w:p w:rsidR="00524E8B" w:rsidRPr="00EB7485" w:rsidRDefault="00524E8B" w:rsidP="00253954">
            <w:pPr>
              <w:spacing w:line="360" w:lineRule="auto"/>
              <w:rPr>
                <w:lang w:val="sk-SK"/>
              </w:rPr>
            </w:pPr>
          </w:p>
        </w:tc>
        <w:tc>
          <w:tcPr>
            <w:tcW w:w="2084" w:type="dxa"/>
            <w:vAlign w:val="center"/>
          </w:tcPr>
          <w:p w:rsidR="00524E8B" w:rsidRPr="00ED5BD9" w:rsidRDefault="00791076" w:rsidP="00253954">
            <w:pPr>
              <w:spacing w:line="360" w:lineRule="auto"/>
              <w:jc w:val="right"/>
              <w:rPr>
                <w:lang w:val="sk-SK"/>
              </w:rPr>
            </w:pPr>
            <w:r>
              <w:rPr>
                <w:lang w:val="sk-SK"/>
              </w:rPr>
              <w:t>2105,30</w:t>
            </w:r>
          </w:p>
        </w:tc>
        <w:tc>
          <w:tcPr>
            <w:tcW w:w="1956" w:type="dxa"/>
            <w:vAlign w:val="center"/>
          </w:tcPr>
          <w:p w:rsidR="00524E8B" w:rsidRPr="00ED5BD9" w:rsidRDefault="00EB7485" w:rsidP="00253954">
            <w:pPr>
              <w:spacing w:line="360" w:lineRule="auto"/>
              <w:jc w:val="right"/>
              <w:rPr>
                <w:lang w:val="sk-SK"/>
              </w:rPr>
            </w:pPr>
            <w:r w:rsidRPr="00791076">
              <w:rPr>
                <w:lang w:val="sk-SK"/>
              </w:rPr>
              <w:t>2000,00</w:t>
            </w:r>
          </w:p>
        </w:tc>
      </w:tr>
      <w:tr w:rsidR="00F516B5" w:rsidRPr="00ED5BD9" w:rsidTr="00253954">
        <w:tc>
          <w:tcPr>
            <w:tcW w:w="1951" w:type="dxa"/>
          </w:tcPr>
          <w:p w:rsidR="00F516B5" w:rsidRPr="00ED5BD9" w:rsidRDefault="00F516B5" w:rsidP="00F516B5">
            <w:pPr>
              <w:pStyle w:val="Odsekzoznamu"/>
              <w:numPr>
                <w:ilvl w:val="0"/>
                <w:numId w:val="6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F516B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Obnova obcí</w:t>
            </w:r>
          </w:p>
        </w:tc>
        <w:tc>
          <w:tcPr>
            <w:tcW w:w="3297" w:type="dxa"/>
          </w:tcPr>
          <w:p w:rsidR="00EB7485" w:rsidRPr="00EB7485" w:rsidRDefault="00EB7485" w:rsidP="00EB7485">
            <w:proofErr w:type="spellStart"/>
            <w:r w:rsidRPr="00EB7485">
              <w:t>Osvetlenie</w:t>
            </w:r>
            <w:proofErr w:type="spellEnd"/>
            <w:r w:rsidRPr="00EB7485">
              <w:t xml:space="preserve"> a </w:t>
            </w:r>
            <w:proofErr w:type="spellStart"/>
            <w:r w:rsidRPr="00EB7485">
              <w:t>ozvučenie</w:t>
            </w:r>
            <w:proofErr w:type="spellEnd"/>
            <w:r w:rsidRPr="00EB7485">
              <w:t xml:space="preserve"> </w:t>
            </w:r>
            <w:proofErr w:type="spellStart"/>
            <w:r w:rsidRPr="00EB7485">
              <w:t>javiska</w:t>
            </w:r>
            <w:proofErr w:type="spellEnd"/>
            <w:r w:rsidRPr="00EB7485">
              <w:t xml:space="preserve"> v </w:t>
            </w:r>
            <w:proofErr w:type="spellStart"/>
            <w:r w:rsidRPr="00EB7485">
              <w:t>Kultúrnom</w:t>
            </w:r>
            <w:proofErr w:type="spellEnd"/>
            <w:r w:rsidRPr="00EB7485">
              <w:t xml:space="preserve"> dome v </w:t>
            </w:r>
            <w:proofErr w:type="spellStart"/>
            <w:r w:rsidRPr="00EB7485">
              <w:t>Diakovciach</w:t>
            </w:r>
            <w:proofErr w:type="spellEnd"/>
          </w:p>
          <w:p w:rsidR="00F516B5" w:rsidRPr="00EB7485" w:rsidRDefault="00F516B5" w:rsidP="00253954">
            <w:pPr>
              <w:spacing w:line="360" w:lineRule="auto"/>
            </w:pPr>
          </w:p>
        </w:tc>
        <w:tc>
          <w:tcPr>
            <w:tcW w:w="2084" w:type="dxa"/>
            <w:vAlign w:val="center"/>
          </w:tcPr>
          <w:p w:rsidR="00F516B5" w:rsidRPr="00791076" w:rsidRDefault="00791076" w:rsidP="00791076">
            <w:pPr>
              <w:spacing w:line="360" w:lineRule="auto"/>
              <w:jc w:val="right"/>
            </w:pPr>
            <w:r>
              <w:rPr>
                <w:szCs w:val="20"/>
              </w:rPr>
              <w:t>3</w:t>
            </w:r>
            <w:r w:rsidRPr="00791076">
              <w:rPr>
                <w:szCs w:val="20"/>
              </w:rPr>
              <w:t xml:space="preserve">052,64  </w:t>
            </w:r>
          </w:p>
        </w:tc>
        <w:tc>
          <w:tcPr>
            <w:tcW w:w="1956" w:type="dxa"/>
            <w:vAlign w:val="center"/>
          </w:tcPr>
          <w:p w:rsidR="00F516B5" w:rsidRPr="00791076" w:rsidRDefault="00EB7485" w:rsidP="00253954">
            <w:pPr>
              <w:spacing w:line="360" w:lineRule="auto"/>
              <w:jc w:val="right"/>
            </w:pPr>
            <w:r w:rsidRPr="00791076">
              <w:t>2900,00</w:t>
            </w:r>
          </w:p>
        </w:tc>
      </w:tr>
      <w:tr w:rsidR="006C26F6" w:rsidRPr="00ED5BD9" w:rsidTr="00253954">
        <w:tc>
          <w:tcPr>
            <w:tcW w:w="1951" w:type="dxa"/>
          </w:tcPr>
          <w:p w:rsidR="006C26F6" w:rsidRPr="00F516B5" w:rsidRDefault="006C26F6" w:rsidP="006C26F6">
            <w:pPr>
              <w:pStyle w:val="Odsekzoznamu"/>
              <w:numPr>
                <w:ilvl w:val="0"/>
                <w:numId w:val="7"/>
              </w:numPr>
              <w:spacing w:before="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6C26F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Prevádzka a administratívna činnosť MAS</w:t>
            </w:r>
          </w:p>
        </w:tc>
        <w:tc>
          <w:tcPr>
            <w:tcW w:w="3297" w:type="dxa"/>
          </w:tcPr>
          <w:p w:rsidR="006C26F6" w:rsidRPr="00EB7485" w:rsidRDefault="006C26F6" w:rsidP="00EB7485">
            <w:r w:rsidRPr="006C26F6">
              <w:rPr>
                <w:lang w:val="sk-SK"/>
              </w:rPr>
              <w:t>Prevádzka a administratívna činnosť MAS</w:t>
            </w:r>
          </w:p>
        </w:tc>
        <w:tc>
          <w:tcPr>
            <w:tcW w:w="2084" w:type="dxa"/>
            <w:vAlign w:val="center"/>
          </w:tcPr>
          <w:p w:rsidR="006C26F6" w:rsidRPr="00ED5BD9" w:rsidRDefault="00D9036B" w:rsidP="00253954">
            <w:pPr>
              <w:spacing w:line="360" w:lineRule="auto"/>
              <w:jc w:val="right"/>
            </w:pPr>
            <w:r>
              <w:t>100,00</w:t>
            </w:r>
          </w:p>
        </w:tc>
        <w:tc>
          <w:tcPr>
            <w:tcW w:w="1956" w:type="dxa"/>
            <w:vAlign w:val="center"/>
          </w:tcPr>
          <w:p w:rsidR="006C26F6" w:rsidRDefault="006C26F6" w:rsidP="00253954">
            <w:pPr>
              <w:spacing w:line="360" w:lineRule="auto"/>
              <w:jc w:val="right"/>
            </w:pPr>
            <w:r>
              <w:t>100,00</w:t>
            </w:r>
          </w:p>
        </w:tc>
      </w:tr>
    </w:tbl>
    <w:p w:rsidR="00524E8B" w:rsidRDefault="00524E8B" w:rsidP="00524E8B">
      <w:pPr>
        <w:spacing w:before="60" w:after="60"/>
        <w:jc w:val="both"/>
        <w:rPr>
          <w:rStyle w:val="st"/>
          <w:rFonts w:ascii="Verdana" w:hAnsi="Verdana"/>
        </w:rPr>
      </w:pPr>
    </w:p>
    <w:p w:rsidR="00FD0B24" w:rsidRDefault="00FD0B24" w:rsidP="00524E8B">
      <w:pPr>
        <w:spacing w:before="60" w:after="60"/>
        <w:jc w:val="both"/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2197"/>
        <w:gridCol w:w="7014"/>
      </w:tblGrid>
      <w:tr w:rsidR="00524E8B" w:rsidRPr="001D771D" w:rsidTr="00253954">
        <w:tc>
          <w:tcPr>
            <w:tcW w:w="2197" w:type="dxa"/>
          </w:tcPr>
          <w:p w:rsidR="00524E8B" w:rsidRPr="001D771D" w:rsidRDefault="00524E8B" w:rsidP="00253954">
            <w:pPr>
              <w:spacing w:before="60" w:after="60"/>
              <w:jc w:val="both"/>
            </w:pPr>
            <w:r w:rsidRPr="001D771D">
              <w:t>Opatrenie 1.1</w:t>
            </w:r>
          </w:p>
        </w:tc>
        <w:tc>
          <w:tcPr>
            <w:tcW w:w="7014" w:type="dxa"/>
          </w:tcPr>
          <w:p w:rsidR="00524E8B" w:rsidRPr="001D771D" w:rsidRDefault="00524E8B" w:rsidP="00253954">
            <w:pPr>
              <w:spacing w:before="60" w:after="60"/>
              <w:jc w:val="both"/>
            </w:pPr>
            <w:r w:rsidRPr="001D771D">
              <w:t>Rekonštrukcia a výstavba budov občianskej a sociálnej infraštruktúry</w:t>
            </w:r>
          </w:p>
        </w:tc>
      </w:tr>
      <w:tr w:rsidR="00524E8B" w:rsidRPr="001D771D" w:rsidTr="00253954">
        <w:tc>
          <w:tcPr>
            <w:tcW w:w="2197" w:type="dxa"/>
          </w:tcPr>
          <w:p w:rsidR="00524E8B" w:rsidRPr="001D771D" w:rsidRDefault="00524E8B" w:rsidP="00253954">
            <w:pPr>
              <w:spacing w:before="60" w:after="60"/>
              <w:jc w:val="both"/>
            </w:pPr>
            <w:r w:rsidRPr="001D771D">
              <w:t>Opatrenie 1.2</w:t>
            </w:r>
          </w:p>
        </w:tc>
        <w:tc>
          <w:tcPr>
            <w:tcW w:w="7014" w:type="dxa"/>
          </w:tcPr>
          <w:p w:rsidR="00524E8B" w:rsidRPr="001D771D" w:rsidRDefault="00524E8B" w:rsidP="00253954">
            <w:pPr>
              <w:spacing w:before="60" w:after="60"/>
              <w:jc w:val="both"/>
            </w:pPr>
            <w:r w:rsidRPr="001D771D">
              <w:t>Zlepšenie stavu technickej infraštruktúry</w:t>
            </w:r>
          </w:p>
        </w:tc>
      </w:tr>
    </w:tbl>
    <w:p w:rsidR="00524E8B" w:rsidRPr="001D771D" w:rsidRDefault="00524E8B" w:rsidP="00524E8B">
      <w:pPr>
        <w:spacing w:before="60" w:after="60"/>
        <w:jc w:val="both"/>
      </w:pPr>
    </w:p>
    <w:p w:rsidR="00524E8B" w:rsidRPr="00FD0B24" w:rsidRDefault="00524E8B" w:rsidP="00524E8B">
      <w:pPr>
        <w:spacing w:before="60" w:after="60"/>
        <w:jc w:val="both"/>
        <w:rPr>
          <w:b/>
        </w:rPr>
      </w:pPr>
      <w:r w:rsidRPr="001D771D">
        <w:rPr>
          <w:b/>
          <w:highlight w:val="lightGray"/>
        </w:rPr>
        <w:lastRenderedPageBreak/>
        <w:t>Opatrenie 1.1 - Rekonštrukcia a výstavba budov občianskej a sociálnej infraštruktúry</w:t>
      </w:r>
    </w:p>
    <w:p w:rsidR="00524E8B" w:rsidRPr="001D771D" w:rsidRDefault="00524E8B" w:rsidP="00524E8B">
      <w:pPr>
        <w:spacing w:before="60" w:after="60"/>
        <w:jc w:val="both"/>
        <w:rPr>
          <w:b/>
        </w:rPr>
      </w:pPr>
      <w:r w:rsidRPr="001D771D">
        <w:rPr>
          <w:b/>
          <w:highlight w:val="lightGray"/>
        </w:rPr>
        <w:t>Opatrenie 1.2 - Zlepšenie stavu technickej infraštruktúry</w:t>
      </w:r>
    </w:p>
    <w:p w:rsidR="00524E8B" w:rsidRPr="001D771D" w:rsidRDefault="00524E8B" w:rsidP="00524E8B">
      <w:pPr>
        <w:spacing w:before="60" w:after="60"/>
        <w:jc w:val="both"/>
      </w:pPr>
    </w:p>
    <w:p w:rsidR="00FE14D1" w:rsidRDefault="00FE14D1" w:rsidP="00FE14D1"/>
    <w:p w:rsidR="00523681" w:rsidRDefault="00523681" w:rsidP="00FE14D1"/>
    <w:p w:rsidR="00FE14D1" w:rsidRDefault="00A53D82" w:rsidP="00FE14D1">
      <w:pPr>
        <w:rPr>
          <w:b/>
        </w:rPr>
      </w:pPr>
      <w:r>
        <w:rPr>
          <w:b/>
        </w:rPr>
        <w:t>Realizované projekty</w:t>
      </w:r>
    </w:p>
    <w:p w:rsidR="00A53D82" w:rsidRPr="00A53D82" w:rsidRDefault="00A53D82" w:rsidP="00FE14D1">
      <w:pPr>
        <w:rPr>
          <w:b/>
        </w:rPr>
      </w:pPr>
    </w:p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120"/>
      </w:tblGrid>
      <w:tr w:rsidR="00253954" w:rsidRPr="00FA2BDE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253954" w:rsidRPr="00FA2BDE" w:rsidRDefault="00253954" w:rsidP="00FE14D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</w:rPr>
            </w:pPr>
            <w:r w:rsidRPr="00FA2BDE">
              <w:rPr>
                <w:rFonts w:ascii="Arial" w:hAnsi="Arial" w:cs="Arial"/>
                <w:b/>
                <w:sz w:val="20"/>
              </w:rPr>
              <w:t xml:space="preserve"> Názov projektu</w:t>
            </w:r>
          </w:p>
        </w:tc>
      </w:tr>
      <w:tr w:rsidR="00253954" w:rsidRPr="00FA2BDE" w:rsidTr="007808AE">
        <w:trPr>
          <w:trHeight w:val="639"/>
        </w:trPr>
        <w:tc>
          <w:tcPr>
            <w:tcW w:w="9120" w:type="dxa"/>
          </w:tcPr>
          <w:p w:rsidR="00253954" w:rsidRPr="00FA2BDE" w:rsidRDefault="00253954" w:rsidP="00253954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  <w:p w:rsidR="00253954" w:rsidRPr="00FA2BDE" w:rsidRDefault="00253954" w:rsidP="00253954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BB4D22">
              <w:rPr>
                <w:rFonts w:ascii="Arial" w:hAnsi="Arial" w:cs="Arial"/>
                <w:noProof/>
                <w:sz w:val="20"/>
                <w:lang w:eastAsia="cs-CZ"/>
              </w:rPr>
              <w:t xml:space="preserve">Výstavba chodníka a spevnenej plochy v obci Žihárec – II. etapa </w:t>
            </w:r>
          </w:p>
        </w:tc>
      </w:tr>
      <w:tr w:rsidR="00253954" w:rsidRPr="00FA2BDE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253954" w:rsidRPr="00A53D82" w:rsidRDefault="00253954" w:rsidP="00A53D82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FA2BDE">
              <w:rPr>
                <w:rFonts w:ascii="Arial" w:hAnsi="Arial" w:cs="Arial"/>
                <w:b/>
                <w:sz w:val="20"/>
              </w:rPr>
              <w:t>Ciele projektu</w:t>
            </w:r>
          </w:p>
        </w:tc>
      </w:tr>
      <w:tr w:rsidR="00253954" w:rsidRPr="00FA2BDE" w:rsidTr="007808AE">
        <w:trPr>
          <w:trHeight w:val="369"/>
        </w:trPr>
        <w:tc>
          <w:tcPr>
            <w:tcW w:w="9120" w:type="dxa"/>
          </w:tcPr>
          <w:p w:rsidR="00253954" w:rsidRPr="00FA2BDE" w:rsidRDefault="00253954" w:rsidP="00253954">
            <w:pPr>
              <w:spacing w:before="6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BB4D22">
              <w:rPr>
                <w:rFonts w:ascii="Arial" w:hAnsi="Arial" w:cs="Arial"/>
                <w:sz w:val="20"/>
                <w:szCs w:val="20"/>
              </w:rPr>
              <w:t xml:space="preserve">Obec Žihárec leží v Podunajskej nížine neďaleko rieky Váh. Obec s 1683 obyvateľmi patrí do Nitrianskeho kraja,  do okresu Šaľa a je súčasťou </w:t>
            </w:r>
            <w:proofErr w:type="spellStart"/>
            <w:r w:rsidRPr="00BB4D22">
              <w:rPr>
                <w:rFonts w:ascii="Arial" w:hAnsi="Arial" w:cs="Arial"/>
                <w:sz w:val="20"/>
                <w:szCs w:val="20"/>
              </w:rPr>
              <w:t>mikroregiónu</w:t>
            </w:r>
            <w:proofErr w:type="spellEnd"/>
            <w:r w:rsidRPr="00BB4D22">
              <w:rPr>
                <w:rFonts w:ascii="Arial" w:hAnsi="Arial" w:cs="Arial"/>
                <w:sz w:val="20"/>
                <w:szCs w:val="20"/>
              </w:rPr>
              <w:t xml:space="preserve"> Csángó. Hlavným cieľom projektu je pokračovať II. etapou výstavby chodníka a spevnenej plochy v obci Žihárec. V roku 2012 bola dokončená I. etapa výstavby, kde sa vybudoval 15 m dlhý chodník. Jestvujúci chodník pre peších je vybudovaný po pravej strane jestvujúcej komunikácie od cintorína a navrhuje sa vybudovať až k poslednej vedľajšej ulice v obci. Povrchovú úpravu chodníka bude tvoriť ako v I. etape, tak aj v II. etape zámková dlažba. Obyvatelia obce sa už dlhé roky sťažujú na chýbajúci chodník, ale keďže je celá stavba rozdelená do 6 etáp, v budúcich rokoch sa bude pokračovať s ďalšími etapami výstavby chodníka, ako aj spevnenej plochy, ktorá sa bude nachádzať pri miestnom cintoríne a bude slúžiť ako parkovisko.</w:t>
            </w:r>
          </w:p>
        </w:tc>
      </w:tr>
      <w:tr w:rsidR="00253954" w:rsidRPr="00FA2BDE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253954" w:rsidRPr="00FA2BDE" w:rsidRDefault="00253954" w:rsidP="00FE14D1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FA2BDE">
              <w:rPr>
                <w:rFonts w:ascii="Arial" w:hAnsi="Arial" w:cs="Arial"/>
                <w:b/>
                <w:sz w:val="20"/>
              </w:rPr>
              <w:t>Predmet projektu (podrobný popis aktivít projektu a ich obsah)</w:t>
            </w:r>
          </w:p>
        </w:tc>
      </w:tr>
      <w:tr w:rsidR="00253954" w:rsidRPr="00FA2BDE" w:rsidTr="007808AE">
        <w:trPr>
          <w:trHeight w:val="369"/>
        </w:trPr>
        <w:tc>
          <w:tcPr>
            <w:tcW w:w="9120" w:type="dxa"/>
          </w:tcPr>
          <w:p w:rsidR="00253954" w:rsidRPr="00CD5709" w:rsidRDefault="00253954" w:rsidP="00253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 xml:space="preserve">Predmetom projektu bude vybudovanie II. etapy chodníka v obci Žihárec. Prvou aktivitou budú zemné práce, ktoré pozostávajú z odstránenia ornice  a úpravy podložia v zmysle projektovej dokumentácie. </w:t>
            </w:r>
          </w:p>
          <w:p w:rsidR="00253954" w:rsidRPr="00CD5709" w:rsidRDefault="00253954" w:rsidP="00253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 xml:space="preserve">Ďalšími aktivitami budú: </w:t>
            </w:r>
          </w:p>
          <w:p w:rsidR="00253954" w:rsidRPr="00CD5709" w:rsidRDefault="00253954" w:rsidP="00253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>nákup materiálu</w:t>
            </w:r>
            <w:r w:rsidR="00A53D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5709">
              <w:rPr>
                <w:rFonts w:ascii="Arial" w:hAnsi="Arial" w:cs="Arial"/>
                <w:sz w:val="20"/>
                <w:szCs w:val="20"/>
              </w:rPr>
              <w:t xml:space="preserve">vytýčenie stavby podľa výkresovej dokumentácie </w:t>
            </w:r>
            <w:r w:rsidR="00A53D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5709">
              <w:rPr>
                <w:rFonts w:ascii="Arial" w:hAnsi="Arial" w:cs="Arial"/>
                <w:sz w:val="20"/>
                <w:szCs w:val="20"/>
              </w:rPr>
              <w:t xml:space="preserve">výkop - pri </w:t>
            </w:r>
            <w:proofErr w:type="spellStart"/>
            <w:r w:rsidRPr="00CD5709">
              <w:rPr>
                <w:rFonts w:ascii="Arial" w:hAnsi="Arial" w:cs="Arial"/>
                <w:sz w:val="20"/>
                <w:szCs w:val="20"/>
              </w:rPr>
              <w:t>pokládke</w:t>
            </w:r>
            <w:proofErr w:type="spellEnd"/>
            <w:r w:rsidRPr="00CD5709">
              <w:rPr>
                <w:rFonts w:ascii="Arial" w:hAnsi="Arial" w:cs="Arial"/>
                <w:sz w:val="20"/>
                <w:szCs w:val="20"/>
              </w:rPr>
              <w:t xml:space="preserve"> zámkovej dlažby sa najprv pripravia výkopové práce</w:t>
            </w:r>
            <w:r w:rsidR="00A53D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5709">
              <w:rPr>
                <w:rFonts w:ascii="Arial" w:hAnsi="Arial" w:cs="Arial"/>
                <w:sz w:val="20"/>
                <w:szCs w:val="20"/>
              </w:rPr>
              <w:t>osádzanie obrubníkov- rozhranie konštrukcií s terénom bude oddelené pomocou parkových a cestných betónových obrubníkov v úrovni terénu</w:t>
            </w:r>
          </w:p>
          <w:p w:rsidR="00253954" w:rsidRPr="00CD5709" w:rsidRDefault="00253954" w:rsidP="00253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>dlažbové lôžko – miesto sa zasype štrkom a vyrovnáva sa latou</w:t>
            </w:r>
            <w:r w:rsidR="00A53D8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D5709">
              <w:rPr>
                <w:rFonts w:ascii="Arial" w:hAnsi="Arial" w:cs="Arial"/>
                <w:sz w:val="20"/>
                <w:szCs w:val="20"/>
              </w:rPr>
              <w:t>ukladanie dlažby</w:t>
            </w:r>
          </w:p>
          <w:p w:rsidR="00253954" w:rsidRPr="00CD5709" w:rsidRDefault="00253954" w:rsidP="0025395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>škárovanie – na vyplnenie škár sa použije stlmený materiál – zmes drobného kameniva s cementom</w:t>
            </w:r>
          </w:p>
          <w:p w:rsidR="00253954" w:rsidRPr="00FA2BDE" w:rsidRDefault="00253954" w:rsidP="00253954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709">
              <w:rPr>
                <w:rFonts w:ascii="Arial" w:hAnsi="Arial" w:cs="Arial"/>
                <w:sz w:val="20"/>
                <w:szCs w:val="20"/>
              </w:rPr>
              <w:t>úprava verejného priestranstva.</w:t>
            </w:r>
          </w:p>
        </w:tc>
      </w:tr>
    </w:tbl>
    <w:p w:rsidR="00253954" w:rsidRDefault="00253954" w:rsidP="00524E8B"/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120"/>
      </w:tblGrid>
      <w:tr w:rsidR="007A3919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7A3919" w:rsidRDefault="007A3919" w:rsidP="006E133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Názov projektu</w:t>
            </w:r>
          </w:p>
        </w:tc>
      </w:tr>
      <w:tr w:rsidR="007A3919" w:rsidTr="007808AE">
        <w:trPr>
          <w:trHeight w:val="425"/>
        </w:trPr>
        <w:tc>
          <w:tcPr>
            <w:tcW w:w="9120" w:type="dxa"/>
          </w:tcPr>
          <w:p w:rsidR="007A3919" w:rsidRDefault="007A3919" w:rsidP="007A3919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8A72FC">
              <w:rPr>
                <w:rFonts w:ascii="Arial" w:hAnsi="Arial" w:cs="Arial"/>
                <w:noProof/>
                <w:sz w:val="20"/>
                <w:lang w:eastAsia="cs-CZ"/>
              </w:rPr>
              <w:t xml:space="preserve">Výstavba chodníka v obci Neded </w:t>
            </w:r>
          </w:p>
        </w:tc>
      </w:tr>
      <w:tr w:rsidR="007A3919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7A3919" w:rsidRPr="00A53D82" w:rsidRDefault="007A3919" w:rsidP="00A53D8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Ciele projektu</w:t>
            </w:r>
          </w:p>
        </w:tc>
      </w:tr>
      <w:tr w:rsidR="007A3919" w:rsidRPr="000D5B1D" w:rsidTr="007808AE">
        <w:trPr>
          <w:trHeight w:val="369"/>
        </w:trPr>
        <w:tc>
          <w:tcPr>
            <w:tcW w:w="9120" w:type="dxa"/>
          </w:tcPr>
          <w:p w:rsidR="007A3919" w:rsidRDefault="007A3919" w:rsidP="007A3919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D5B1D">
              <w:rPr>
                <w:rFonts w:ascii="Arial" w:hAnsi="Arial" w:cs="Arial"/>
                <w:sz w:val="20"/>
                <w:szCs w:val="20"/>
              </w:rPr>
              <w:t xml:space="preserve">Obec Neded s 3244 obyvateľmi leží v Podunajskej nížine na pravo brežnom poriečnom vale Váhu a susedí s obcou Vlčany. Obec patrí do </w:t>
            </w:r>
            <w:proofErr w:type="spellStart"/>
            <w:r w:rsidRPr="000D5B1D">
              <w:rPr>
                <w:rFonts w:ascii="Arial" w:hAnsi="Arial" w:cs="Arial"/>
                <w:sz w:val="20"/>
                <w:szCs w:val="20"/>
              </w:rPr>
              <w:t>mikroregiónu</w:t>
            </w:r>
            <w:proofErr w:type="spellEnd"/>
            <w:r w:rsidRPr="000D5B1D">
              <w:rPr>
                <w:rFonts w:ascii="Arial" w:hAnsi="Arial" w:cs="Arial"/>
                <w:sz w:val="20"/>
                <w:szCs w:val="20"/>
              </w:rPr>
              <w:t xml:space="preserve"> Csángó a návštevníkov do tohto regiónu lákajú najmä výborné podmienky na poľovníctvo a rybolov. </w:t>
            </w:r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t>Celkovým cieľom projektu je zlepšenie základných služieb v obci Neded.</w:t>
            </w:r>
          </w:p>
          <w:p w:rsidR="007A3919" w:rsidRPr="000D5B1D" w:rsidRDefault="007A3919" w:rsidP="007A3919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0D5B1D">
              <w:rPr>
                <w:rFonts w:ascii="Arial" w:hAnsi="Arial" w:cs="Arial"/>
                <w:sz w:val="20"/>
                <w:szCs w:val="20"/>
              </w:rPr>
              <w:t>Cieľom projektu je vybudovať nový chodník v obci. Chodník bude spájať dve susediace ulice. Projekt sa bude realizovať v centre obce Neded. Povrchovú úpravu chodníka bude tvoriť zámková dlažba  o dĺžke 150 m a o šírke 1,5 m.</w:t>
            </w:r>
          </w:p>
        </w:tc>
      </w:tr>
      <w:tr w:rsidR="007A3919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7A3919" w:rsidRDefault="007A3919" w:rsidP="006E133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t>Predmet projektu (podrobný popis aktivít projektu a ich obsah)</w:t>
            </w:r>
          </w:p>
        </w:tc>
      </w:tr>
      <w:tr w:rsidR="007A3919" w:rsidTr="007808AE">
        <w:trPr>
          <w:trHeight w:val="369"/>
        </w:trPr>
        <w:tc>
          <w:tcPr>
            <w:tcW w:w="9120" w:type="dxa"/>
          </w:tcPr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Pri výstavbe chodníka sa budú realizovať nasledovné aktivity:</w:t>
            </w:r>
          </w:p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1)</w:t>
            </w:r>
            <w:r w:rsidRPr="000D5B1D">
              <w:rPr>
                <w:rFonts w:ascii="Arial" w:hAnsi="Arial" w:cs="Arial"/>
                <w:sz w:val="20"/>
              </w:rPr>
              <w:tab/>
              <w:t>Zemné práce, ktoré sa budú uskutočňovať v zmysle projektovej dokumentácie</w:t>
            </w:r>
          </w:p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2)</w:t>
            </w:r>
            <w:r w:rsidRPr="000D5B1D">
              <w:rPr>
                <w:rFonts w:ascii="Arial" w:hAnsi="Arial" w:cs="Arial"/>
                <w:sz w:val="20"/>
              </w:rPr>
              <w:tab/>
              <w:t>Vytýčenie stavby podľa výkresovej dokumentácie</w:t>
            </w:r>
          </w:p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lastRenderedPageBreak/>
              <w:t>3)</w:t>
            </w:r>
            <w:r w:rsidRPr="000D5B1D">
              <w:rPr>
                <w:rFonts w:ascii="Arial" w:hAnsi="Arial" w:cs="Arial"/>
                <w:sz w:val="20"/>
              </w:rPr>
              <w:tab/>
              <w:t>Nákup potrebného materiálu na výstavbu chodníka a cyklotrasy</w:t>
            </w:r>
          </w:p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4)</w:t>
            </w:r>
            <w:r w:rsidRPr="000D5B1D">
              <w:rPr>
                <w:rFonts w:ascii="Arial" w:hAnsi="Arial" w:cs="Arial"/>
                <w:sz w:val="20"/>
              </w:rPr>
              <w:tab/>
              <w:t>Osádzanie obrubníkov a následné ukladanie dlažby</w:t>
            </w:r>
          </w:p>
          <w:p w:rsidR="007A3919" w:rsidRPr="000D5B1D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5)</w:t>
            </w:r>
            <w:r w:rsidRPr="000D5B1D">
              <w:rPr>
                <w:rFonts w:ascii="Arial" w:hAnsi="Arial" w:cs="Arial"/>
                <w:sz w:val="20"/>
              </w:rPr>
              <w:tab/>
              <w:t>Škárovanie – na vyplnenie škár sa použije stlmený materiál – zmes drobného kameniva s cementom</w:t>
            </w:r>
          </w:p>
          <w:p w:rsidR="007A3919" w:rsidRDefault="007A3919" w:rsidP="007A3919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0D5B1D">
              <w:rPr>
                <w:rFonts w:ascii="Arial" w:hAnsi="Arial" w:cs="Arial"/>
                <w:sz w:val="20"/>
              </w:rPr>
              <w:t>6)</w:t>
            </w:r>
            <w:r w:rsidRPr="000D5B1D">
              <w:rPr>
                <w:rFonts w:ascii="Arial" w:hAnsi="Arial" w:cs="Arial"/>
                <w:sz w:val="20"/>
              </w:rPr>
              <w:tab/>
              <w:t xml:space="preserve">Úprava verejného priestranstva  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Default="006E1332" w:rsidP="006E133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Názov projektu</w:t>
            </w:r>
          </w:p>
        </w:tc>
      </w:tr>
      <w:tr w:rsidR="006E1332" w:rsidTr="007808AE">
        <w:trPr>
          <w:trHeight w:val="639"/>
        </w:trPr>
        <w:tc>
          <w:tcPr>
            <w:tcW w:w="9120" w:type="dxa"/>
          </w:tcPr>
          <w:p w:rsidR="006E1332" w:rsidRDefault="006E1332" w:rsidP="006E1332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  <w:p w:rsidR="006E1332" w:rsidRDefault="006E1332" w:rsidP="006E1332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774C38">
              <w:rPr>
                <w:rFonts w:ascii="Arial" w:hAnsi="Arial" w:cs="Arial"/>
                <w:noProof/>
                <w:sz w:val="20"/>
                <w:lang w:eastAsia="cs-CZ"/>
              </w:rPr>
              <w:t xml:space="preserve">Rekonštrukcia chodníka v obci Tešedíkovo 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Pr="00A53D82" w:rsidRDefault="006E1332" w:rsidP="00A53D8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Ciele projektu</w:t>
            </w:r>
          </w:p>
        </w:tc>
      </w:tr>
      <w:tr w:rsidR="006E1332" w:rsidRPr="00AA7B27" w:rsidTr="007808AE">
        <w:trPr>
          <w:trHeight w:val="369"/>
        </w:trPr>
        <w:tc>
          <w:tcPr>
            <w:tcW w:w="9120" w:type="dxa"/>
          </w:tcPr>
          <w:p w:rsidR="006E1332" w:rsidRPr="00AA7B27" w:rsidRDefault="006E1332" w:rsidP="006E13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471A">
              <w:rPr>
                <w:rFonts w:ascii="Arial" w:hAnsi="Arial" w:cs="Arial"/>
                <w:sz w:val="20"/>
                <w:szCs w:val="20"/>
              </w:rPr>
              <w:t>Obec Tešedíkovo sa rozprestiera v okrese Šaľa, patriacom do Nitrianskeho VÚC, južne od rieky Váh a severne od Malého Dunaja. V chotári Tešedíkova sú dve jazerá – Čierne jazero a Bystré jazero, ktoré patria medzi štátom chránené územia. Obec má záujem o aktívny rozvoj a zlepšovanie kvality života v obci, preto sa vedenie obce rozhodlo rekonštruovať chodník, ktorý je vo veľmi zlom stave. Chodník by viedol od Rímsko-katolíckeho kostola, ktorý sa nachádza v centre obce až po Kultúrno-informačné centrum, ktoré sa nachádza vo vedľajšej ulici. Celková dĺžka chodníka bude 150 m. V súčasnosti je chodník vybudovaný z betónovej dlažby 50x50 cm, táto dlažba bude vymenená za zámkovú dlažbu, ktorá udá obci krajší vzhľad.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Default="006E1332" w:rsidP="006E1332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t>Predmet projektu (podrobný popis aktivít projektu a ich obsah)</w:t>
            </w:r>
          </w:p>
        </w:tc>
      </w:tr>
      <w:tr w:rsidR="006E1332" w:rsidRPr="00011899" w:rsidTr="007808AE">
        <w:trPr>
          <w:trHeight w:val="369"/>
        </w:trPr>
        <w:tc>
          <w:tcPr>
            <w:tcW w:w="9120" w:type="dxa"/>
          </w:tcPr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 xml:space="preserve">Predmetom projektu bude rekonštrukcia chodníka v obci Tešedíkovo. 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Aktivita projektu: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 xml:space="preserve">-          zemné práce, ktoré pozostávajú z odstránenia starej betónovej dlažby 50x50 cm 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nákup materiálu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vytýčenie stavby podľa výkresovej dokumentácie 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výkop - pri pokládke zámkovej dlažby sa najprv pripravia výkopové práce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osádzanie obrubníkov- rozhranie konštrukcií s terénom bude oddelené pomocou parkových a cestných betónových obrubníkov v úrovni terénu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dlažbové lôžko – miesto sa zasype štrkom a vyrovnáva sa latou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ukladanie dlažby</w:t>
            </w:r>
          </w:p>
          <w:p w:rsidR="006E1332" w:rsidRPr="005A471A" w:rsidRDefault="006E1332" w:rsidP="006E1332">
            <w:pPr>
              <w:spacing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škárovanie – na vyplnenie škár sa použije stlmený materiál – zmes drobného kameniva s cementom</w:t>
            </w:r>
          </w:p>
          <w:p w:rsidR="006E1332" w:rsidRPr="00011899" w:rsidRDefault="006E1332" w:rsidP="006E1332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5A471A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 w:rsidRPr="005A471A">
              <w:rPr>
                <w:rFonts w:ascii="Arial" w:hAnsi="Arial" w:cs="Arial"/>
                <w:noProof/>
                <w:sz w:val="20"/>
                <w:szCs w:val="20"/>
              </w:rPr>
              <w:tab/>
              <w:t>úprava verejného priestranstva.</w:t>
            </w:r>
          </w:p>
        </w:tc>
      </w:tr>
    </w:tbl>
    <w:p w:rsidR="006E1332" w:rsidRDefault="006E1332" w:rsidP="00524E8B"/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120"/>
      </w:tblGrid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Default="006E1332" w:rsidP="006E133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Názov projektu</w:t>
            </w:r>
          </w:p>
        </w:tc>
      </w:tr>
      <w:tr w:rsidR="006E1332" w:rsidTr="007808AE">
        <w:trPr>
          <w:trHeight w:val="639"/>
        </w:trPr>
        <w:tc>
          <w:tcPr>
            <w:tcW w:w="9120" w:type="dxa"/>
          </w:tcPr>
          <w:p w:rsidR="006E1332" w:rsidRDefault="006E1332" w:rsidP="006E1332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  <w:p w:rsidR="006E1332" w:rsidRDefault="006E1332" w:rsidP="006E1332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 w:rsidRPr="00F06754">
              <w:rPr>
                <w:rFonts w:ascii="Arial" w:hAnsi="Arial" w:cs="Arial"/>
                <w:noProof/>
                <w:sz w:val="20"/>
                <w:lang w:eastAsia="cs-CZ"/>
              </w:rPr>
              <w:t>Revitalizácia parku v historickom centre obce Vlčany</w:t>
            </w:r>
            <w:r>
              <w:rPr>
                <w:rFonts w:ascii="Arial" w:hAnsi="Arial" w:cs="Arial"/>
                <w:noProof/>
                <w:sz w:val="20"/>
                <w:lang w:eastAsia="cs-CZ"/>
              </w:rPr>
              <w:t>.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Pr="00A53D82" w:rsidRDefault="006E1332" w:rsidP="00A53D8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Ciele projektu</w:t>
            </w:r>
          </w:p>
        </w:tc>
      </w:tr>
      <w:tr w:rsidR="006E1332" w:rsidRPr="00425E59" w:rsidTr="007808AE">
        <w:trPr>
          <w:trHeight w:val="369"/>
        </w:trPr>
        <w:tc>
          <w:tcPr>
            <w:tcW w:w="9120" w:type="dxa"/>
          </w:tcPr>
          <w:p w:rsidR="006E1332" w:rsidRPr="00425E59" w:rsidRDefault="006E1332" w:rsidP="006E133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9">
              <w:rPr>
                <w:rFonts w:ascii="Arial" w:hAnsi="Arial" w:cs="Arial"/>
                <w:sz w:val="20"/>
                <w:szCs w:val="20"/>
              </w:rPr>
              <w:t>V obci sa nachádzajú parky, ktoré by potrebovali oživiť. Park je dôležitou súčasťou života všetkých obyvateľov obce Vlčany. Obec plánuje revitalizáciu parku v historickom centre obce (vybudovanie spevnenej plochy, vybudovanie pomníka, obnovenie zelene, zatrávnenie). Predmetom navrhovaného projektu je realizácia projektu, ktorým sa vybuduje spevnená plocha zo zámkovej dlažby v tvare kruhu, ktorá bude viesť k plánovanému pomníku v centre obce, ktorý bude ale vybudovaný z vlastných nákladov obce. Celková plocha spevnenej plochy a obnoveného verejného priestranstva bude 130 m2. Sochárske dielo nazvané "Strom života" plánuje obec zrealizovať v roku 2013 pri príležitosti 900. výročia prvej písomnej zmienky o obci. Pomník bude vysoký 3 metre a na pamätníku budú zvečnené významné historické medzníky, udalosti obce Vlčany od prvej písomnej zmienky z roku 1113 až po súčasnosť. Ďalším cieľom projektu bude úprava verejného priestranstva a verejnej zelene v okolí spevnenej plochy. Parky v obci slúžia ako oddychová zóna a to nielen pre miestnych obyvateľov, ale tiež pre návštevníkov obce a preto by bolo dôležité zlepšiť ich vzhľad.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6E1332" w:rsidRDefault="006E1332" w:rsidP="006E133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lastRenderedPageBreak/>
              <w:t>Predmet projektu (podrobný popis aktivít projektu a ich obsah)</w:t>
            </w:r>
          </w:p>
        </w:tc>
      </w:tr>
      <w:tr w:rsidR="006E1332" w:rsidTr="007808AE">
        <w:trPr>
          <w:trHeight w:val="369"/>
        </w:trPr>
        <w:tc>
          <w:tcPr>
            <w:tcW w:w="9120" w:type="dxa"/>
          </w:tcPr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 xml:space="preserve">Predmetom projektu je vybudovanie spevnenej plochy k pomníku v historickom centre obce Vlčany. Povrchovú úpravu plochy bude tvoriť zámková dlažba. Realizácia projektu je dôležitá pre obec hlavne aj z hľadiska skrášľovania verejných priestranstiev. Zapojenie nezamestnaných obyvateľov obce do realizácie projektu v rámci aktivačných prác (revitalizácia verejného priestranstva) je ďalším cieľom navrhovaného projektu.   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Aktivity, ktoré budú vykonané v rámci realizácie projektu: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nákup a dodávka materiálu,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odstránenie existujúcich nepotrebných spevnených plôch,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vytýčenie stavby podľa výkresovej dokumentácie,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 xml:space="preserve">- výkop - pri </w:t>
            </w:r>
            <w:proofErr w:type="spellStart"/>
            <w:r w:rsidRPr="00393819">
              <w:rPr>
                <w:rFonts w:ascii="Arial" w:hAnsi="Arial" w:cs="Arial"/>
                <w:sz w:val="20"/>
              </w:rPr>
              <w:t>pokládke</w:t>
            </w:r>
            <w:proofErr w:type="spellEnd"/>
            <w:r w:rsidRPr="00393819">
              <w:rPr>
                <w:rFonts w:ascii="Arial" w:hAnsi="Arial" w:cs="Arial"/>
                <w:sz w:val="20"/>
              </w:rPr>
              <w:t xml:space="preserve"> zámkovej dlažby sa najprv pripravia výkopové práce,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dlažbové lôžko – miesto sa zasype štrkom a vyrovnáva sa latou,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ukladanie dlažby,</w:t>
            </w:r>
          </w:p>
          <w:p w:rsidR="006E1332" w:rsidRPr="00393819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>- škárovanie – na vyplnenie škár sa použije stlmený materiál – zmes drobného kameniva s cementom,</w:t>
            </w:r>
          </w:p>
          <w:p w:rsidR="006E1332" w:rsidRDefault="006E1332" w:rsidP="006E1332">
            <w:pPr>
              <w:spacing w:before="60" w:line="276" w:lineRule="auto"/>
              <w:jc w:val="both"/>
              <w:rPr>
                <w:rFonts w:ascii="Arial" w:hAnsi="Arial" w:cs="Arial"/>
                <w:sz w:val="20"/>
              </w:rPr>
            </w:pPr>
            <w:r w:rsidRPr="00393819">
              <w:rPr>
                <w:rFonts w:ascii="Arial" w:hAnsi="Arial" w:cs="Arial"/>
                <w:sz w:val="20"/>
              </w:rPr>
              <w:t xml:space="preserve">- revitalizácia verejného priestranstva v parku, zatrávnenie a odstránenie vzniknutého odpadu.  </w:t>
            </w:r>
          </w:p>
        </w:tc>
      </w:tr>
    </w:tbl>
    <w:p w:rsidR="006E1332" w:rsidRDefault="006E1332" w:rsidP="00524E8B"/>
    <w:p w:rsidR="006E1332" w:rsidRDefault="006E1332" w:rsidP="00524E8B"/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120"/>
      </w:tblGrid>
      <w:tr w:rsidR="00B6769A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B6769A" w:rsidRDefault="00B6769A" w:rsidP="00B6769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Názov projektu</w:t>
            </w:r>
          </w:p>
        </w:tc>
      </w:tr>
      <w:tr w:rsidR="00B6769A" w:rsidTr="007808AE">
        <w:trPr>
          <w:trHeight w:val="639"/>
        </w:trPr>
        <w:tc>
          <w:tcPr>
            <w:tcW w:w="9120" w:type="dxa"/>
          </w:tcPr>
          <w:p w:rsidR="00B6769A" w:rsidRDefault="00B6769A" w:rsidP="00DD456D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  </w:t>
            </w:r>
          </w:p>
          <w:p w:rsidR="00B6769A" w:rsidRPr="006C45B3" w:rsidRDefault="00B6769A" w:rsidP="00DD456D">
            <w:p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noProof/>
                <w:sz w:val="20"/>
                <w:lang w:eastAsia="cs-CZ"/>
              </w:rPr>
              <w:t xml:space="preserve">         </w:t>
            </w:r>
            <w:r w:rsidRPr="006C45B3">
              <w:rPr>
                <w:rFonts w:ascii="Arial" w:hAnsi="Arial" w:cs="Arial"/>
                <w:b/>
                <w:noProof/>
                <w:sz w:val="20"/>
                <w:lang w:eastAsia="cs-CZ"/>
              </w:rPr>
              <w:t xml:space="preserve">Osvetlenie a ozvučenie javiska v Kultúrnom dome v Diakovciach </w:t>
            </w:r>
          </w:p>
          <w:p w:rsidR="00B6769A" w:rsidRDefault="00B6769A" w:rsidP="00DD456D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B6769A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B6769A" w:rsidRPr="00D05BD6" w:rsidRDefault="00B6769A" w:rsidP="00B6769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</w:rPr>
              <w:t>Ciele projektu</w:t>
            </w:r>
          </w:p>
          <w:p w:rsidR="00B6769A" w:rsidRDefault="00B6769A" w:rsidP="00DD456D">
            <w:pPr>
              <w:ind w:left="1440"/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</w:p>
        </w:tc>
      </w:tr>
      <w:tr w:rsidR="00B6769A" w:rsidTr="007808AE">
        <w:trPr>
          <w:trHeight w:val="369"/>
        </w:trPr>
        <w:tc>
          <w:tcPr>
            <w:tcW w:w="9120" w:type="dxa"/>
          </w:tcPr>
          <w:p w:rsidR="00B6769A" w:rsidRPr="001526C4" w:rsidRDefault="00B6769A" w:rsidP="00DD456D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</w:p>
          <w:p w:rsidR="00B6769A" w:rsidRPr="0031767F" w:rsidRDefault="00B6769A" w:rsidP="00DD456D">
            <w:pPr>
              <w:rPr>
                <w:rFonts w:ascii="Arial" w:hAnsi="Arial" w:cs="Arial"/>
                <w:sz w:val="20"/>
              </w:rPr>
            </w:pPr>
            <w:r w:rsidRPr="0031767F">
              <w:rPr>
                <w:rFonts w:ascii="Arial" w:hAnsi="Arial" w:cs="Arial"/>
                <w:sz w:val="20"/>
              </w:rPr>
              <w:t xml:space="preserve">Cieľom projektu je rekonštrukcia obecnej budovy – spoločensko-kultúrnej časti Kultúrneho domu v Diakovciach. Vo veľkej sále je </w:t>
            </w:r>
            <w:proofErr w:type="spellStart"/>
            <w:r w:rsidRPr="0031767F">
              <w:rPr>
                <w:rFonts w:ascii="Arial" w:hAnsi="Arial" w:cs="Arial"/>
                <w:sz w:val="20"/>
              </w:rPr>
              <w:t>zastaralé</w:t>
            </w:r>
            <w:proofErr w:type="spellEnd"/>
            <w:r w:rsidRPr="0031767F">
              <w:rPr>
                <w:rFonts w:ascii="Arial" w:hAnsi="Arial" w:cs="Arial"/>
                <w:sz w:val="20"/>
              </w:rPr>
              <w:t xml:space="preserve"> osvetlenie i ozvučenie,  ktoré nevyhovuje súčasným potrebám  a preto potrebuje rekonštrukciu. </w:t>
            </w:r>
          </w:p>
          <w:p w:rsidR="00B6769A" w:rsidRPr="0031767F" w:rsidRDefault="00B6769A" w:rsidP="00DD456D">
            <w:pPr>
              <w:rPr>
                <w:rFonts w:ascii="Arial" w:hAnsi="Arial" w:cs="Arial"/>
                <w:sz w:val="20"/>
              </w:rPr>
            </w:pPr>
            <w:r w:rsidRPr="0031767F">
              <w:rPr>
                <w:rFonts w:ascii="Arial" w:hAnsi="Arial" w:cs="Arial"/>
                <w:sz w:val="20"/>
              </w:rPr>
              <w:t>Projekt má inovatívny charakter z hľadiska využívania spoločensko-kultúrnej časti kultúrneho domu . Po realizácii obec bude mať možnosť usporadúvať</w:t>
            </w:r>
          </w:p>
          <w:p w:rsidR="00B6769A" w:rsidRPr="0031767F" w:rsidRDefault="00B6769A" w:rsidP="00DD456D">
            <w:pPr>
              <w:rPr>
                <w:rFonts w:ascii="Arial" w:hAnsi="Arial" w:cs="Arial"/>
                <w:noProof/>
                <w:sz w:val="20"/>
                <w:szCs w:val="20"/>
                <w:lang w:eastAsia="cs-CZ"/>
              </w:rPr>
            </w:pPr>
            <w:r w:rsidRPr="0031767F">
              <w:rPr>
                <w:rFonts w:ascii="Arial" w:hAnsi="Arial" w:cs="Arial"/>
                <w:sz w:val="20"/>
              </w:rPr>
              <w:t>kultúrne podujatia väčšieho rázu, ako   napr.  koncerty, muzikály, divadelné hry a pod.</w:t>
            </w:r>
          </w:p>
          <w:p w:rsidR="00B6769A" w:rsidRDefault="00B6769A" w:rsidP="00DD456D">
            <w:pPr>
              <w:rPr>
                <w:rFonts w:ascii="Arial" w:hAnsi="Arial" w:cs="Arial"/>
                <w:noProof/>
                <w:sz w:val="20"/>
                <w:lang w:eastAsia="cs-CZ"/>
              </w:rPr>
            </w:pPr>
          </w:p>
        </w:tc>
      </w:tr>
      <w:tr w:rsidR="00B6769A" w:rsidTr="007808AE">
        <w:trPr>
          <w:trHeight w:val="369"/>
        </w:trPr>
        <w:tc>
          <w:tcPr>
            <w:tcW w:w="9120" w:type="dxa"/>
            <w:shd w:val="clear" w:color="auto" w:fill="CCFFCC"/>
            <w:vAlign w:val="center"/>
          </w:tcPr>
          <w:p w:rsidR="00B6769A" w:rsidRDefault="00B6769A" w:rsidP="00B6769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noProof/>
                <w:sz w:val="20"/>
                <w:lang w:eastAsia="cs-CZ"/>
              </w:rPr>
            </w:pPr>
            <w:r w:rsidRPr="00D05BD6">
              <w:rPr>
                <w:rFonts w:ascii="Arial" w:hAnsi="Arial" w:cs="Arial"/>
                <w:b/>
                <w:sz w:val="20"/>
              </w:rPr>
              <w:t>Predmet projektu (podrobný popis aktivít projektu a ich obsah)</w:t>
            </w:r>
          </w:p>
        </w:tc>
      </w:tr>
      <w:tr w:rsidR="00B6769A" w:rsidTr="007808AE">
        <w:trPr>
          <w:trHeight w:val="369"/>
        </w:trPr>
        <w:tc>
          <w:tcPr>
            <w:tcW w:w="9120" w:type="dxa"/>
          </w:tcPr>
          <w:p w:rsidR="00B6769A" w:rsidRDefault="00B6769A" w:rsidP="00DD456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„Osvetlenie a ozvučenie javiska v Kultúrnom dome v Diakovciach“ – kompletná dodávka a montáž osvetlenia a ozvučenia javiska sa bude realizovať v budove kultúrneho domu v Diakovciach.</w:t>
            </w:r>
          </w:p>
          <w:p w:rsidR="00B6769A" w:rsidRPr="00937E1F" w:rsidRDefault="00B6769A" w:rsidP="00DD456D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937E1F">
              <w:rPr>
                <w:rFonts w:ascii="Arial" w:hAnsi="Arial" w:cs="Arial"/>
                <w:b/>
                <w:sz w:val="20"/>
              </w:rPr>
              <w:t xml:space="preserve">Zoznam komponentov ozvučovacieho systému 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>DJ set „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Bass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First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“, 2 x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zosilovač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, 4xrepro, 4000 W 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 xml:space="preserve">Ibiza Port8VHF-N mobilný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PA-box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 batéria kufor s kolieskami U 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proofErr w:type="spellStart"/>
            <w:r w:rsidRPr="00205E94">
              <w:rPr>
                <w:rFonts w:ascii="Arial" w:hAnsi="Arial" w:cs="Arial"/>
                <w:sz w:val="20"/>
              </w:rPr>
              <w:t>Auna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 FU-2-B bezdrôtový mikrofón, 2 mikrofóny, VHF 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 xml:space="preserve">LED svetelný efekt KAM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Parbar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 MKIII 4x DMX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reflekt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>. stoj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 xml:space="preserve">DJ set „El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Arenal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05E94">
              <w:rPr>
                <w:rFonts w:ascii="Arial" w:hAnsi="Arial" w:cs="Arial"/>
                <w:sz w:val="20"/>
              </w:rPr>
              <w:t>Entertainer</w:t>
            </w:r>
            <w:proofErr w:type="spellEnd"/>
            <w:r w:rsidRPr="00205E94">
              <w:rPr>
                <w:rFonts w:ascii="Arial" w:hAnsi="Arial" w:cs="Arial"/>
                <w:sz w:val="20"/>
              </w:rPr>
              <w:t>“, 2 x CD, mixážny pult</w:t>
            </w:r>
          </w:p>
          <w:p w:rsidR="00B6769A" w:rsidRPr="00205E94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 xml:space="preserve">Drobný inštalačný materiál, kabeláž </w:t>
            </w:r>
          </w:p>
          <w:p w:rsidR="00B6769A" w:rsidRDefault="00B6769A" w:rsidP="00DD456D">
            <w:pPr>
              <w:numPr>
                <w:ilvl w:val="0"/>
                <w:numId w:val="15"/>
              </w:numPr>
              <w:spacing w:before="60"/>
              <w:rPr>
                <w:rFonts w:ascii="Arial" w:hAnsi="Arial" w:cs="Arial"/>
                <w:sz w:val="20"/>
              </w:rPr>
            </w:pPr>
            <w:r w:rsidRPr="00205E94">
              <w:rPr>
                <w:rFonts w:ascii="Arial" w:hAnsi="Arial" w:cs="Arial"/>
                <w:sz w:val="20"/>
              </w:rPr>
              <w:t>Doprava, inštalácia, montáž</w:t>
            </w:r>
          </w:p>
        </w:tc>
      </w:tr>
    </w:tbl>
    <w:p w:rsidR="00B6769A" w:rsidRDefault="00B6769A" w:rsidP="00524E8B"/>
    <w:p w:rsidR="006E1332" w:rsidRDefault="006E1332" w:rsidP="00524E8B"/>
    <w:sectPr w:rsidR="006E1332" w:rsidSect="0067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6D3"/>
    <w:multiLevelType w:val="hybridMultilevel"/>
    <w:tmpl w:val="96C69A2A"/>
    <w:lvl w:ilvl="0" w:tplc="2D3225C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934353A"/>
    <w:multiLevelType w:val="hybridMultilevel"/>
    <w:tmpl w:val="CFEC070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B40D26"/>
    <w:multiLevelType w:val="hybridMultilevel"/>
    <w:tmpl w:val="0AA6C906"/>
    <w:lvl w:ilvl="0" w:tplc="93B40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B020F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C0236"/>
    <w:multiLevelType w:val="hybridMultilevel"/>
    <w:tmpl w:val="C52EF602"/>
    <w:lvl w:ilvl="0" w:tplc="BAB65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3D92528"/>
    <w:multiLevelType w:val="hybridMultilevel"/>
    <w:tmpl w:val="720CD9A4"/>
    <w:lvl w:ilvl="0" w:tplc="4A1C68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BE455E"/>
    <w:multiLevelType w:val="hybridMultilevel"/>
    <w:tmpl w:val="CFEC070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53269B"/>
    <w:multiLevelType w:val="hybridMultilevel"/>
    <w:tmpl w:val="3A9CDCAC"/>
    <w:lvl w:ilvl="0" w:tplc="01AA1E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28ED"/>
    <w:multiLevelType w:val="hybridMultilevel"/>
    <w:tmpl w:val="61C6869C"/>
    <w:lvl w:ilvl="0" w:tplc="93B40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E24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75BFE"/>
    <w:multiLevelType w:val="hybridMultilevel"/>
    <w:tmpl w:val="61C6869C"/>
    <w:lvl w:ilvl="0" w:tplc="93B40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E24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D244C"/>
    <w:multiLevelType w:val="hybridMultilevel"/>
    <w:tmpl w:val="4A121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39B7"/>
    <w:multiLevelType w:val="hybridMultilevel"/>
    <w:tmpl w:val="61C6869C"/>
    <w:lvl w:ilvl="0" w:tplc="93B402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E2468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3553A"/>
    <w:multiLevelType w:val="hybridMultilevel"/>
    <w:tmpl w:val="F830E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C4807"/>
    <w:multiLevelType w:val="hybridMultilevel"/>
    <w:tmpl w:val="1C78963A"/>
    <w:lvl w:ilvl="0" w:tplc="C32267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DA75DD"/>
    <w:multiLevelType w:val="hybridMultilevel"/>
    <w:tmpl w:val="EC4C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A3A3C"/>
    <w:multiLevelType w:val="hybridMultilevel"/>
    <w:tmpl w:val="8FDE9C1A"/>
    <w:lvl w:ilvl="0" w:tplc="4832134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SLJ24Swq2VR6Ms7ZCaH5L1g7pI=" w:salt="jlPyzklSRObK6aYKNcO/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B"/>
    <w:rsid w:val="000F2B11"/>
    <w:rsid w:val="001B69A5"/>
    <w:rsid w:val="001E5A04"/>
    <w:rsid w:val="00253954"/>
    <w:rsid w:val="003215E1"/>
    <w:rsid w:val="0048744B"/>
    <w:rsid w:val="00523681"/>
    <w:rsid w:val="00524E8B"/>
    <w:rsid w:val="00527C68"/>
    <w:rsid w:val="00677F10"/>
    <w:rsid w:val="006C26F6"/>
    <w:rsid w:val="006E1332"/>
    <w:rsid w:val="00702FE8"/>
    <w:rsid w:val="007808AE"/>
    <w:rsid w:val="007814C1"/>
    <w:rsid w:val="00791076"/>
    <w:rsid w:val="007A3919"/>
    <w:rsid w:val="00914F27"/>
    <w:rsid w:val="00A53D82"/>
    <w:rsid w:val="00B6769A"/>
    <w:rsid w:val="00B745B4"/>
    <w:rsid w:val="00C854A6"/>
    <w:rsid w:val="00D82D1E"/>
    <w:rsid w:val="00D9036B"/>
    <w:rsid w:val="00DF3BE9"/>
    <w:rsid w:val="00E1369B"/>
    <w:rsid w:val="00E353D1"/>
    <w:rsid w:val="00EB7485"/>
    <w:rsid w:val="00F516B5"/>
    <w:rsid w:val="00FD0B24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E8B"/>
    <w:pPr>
      <w:spacing w:before="60"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t">
    <w:name w:val="st"/>
    <w:basedOn w:val="Predvolenpsmoodseku"/>
    <w:rsid w:val="00524E8B"/>
  </w:style>
  <w:style w:type="table" w:styleId="Mriekatabuky">
    <w:name w:val="Table Grid"/>
    <w:basedOn w:val="Normlnatabuka"/>
    <w:uiPriority w:val="59"/>
    <w:rsid w:val="00524E8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24E8B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24E8B"/>
    <w:rPr>
      <w:rFonts w:eastAsiaTheme="minorEastAsia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E8B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zovChar">
    <w:name w:val="Názov Char"/>
    <w:link w:val="Nzov"/>
    <w:locked/>
    <w:rsid w:val="0048744B"/>
    <w:rPr>
      <w:rFonts w:ascii="Calibri" w:eastAsia="Calibri" w:hAnsi="Calibri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8744B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NzovChar1">
    <w:name w:val="Názov Char1"/>
    <w:basedOn w:val="Predvolenpsmoodseku"/>
    <w:uiPriority w:val="10"/>
    <w:rsid w:val="0048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semiHidden/>
    <w:rsid w:val="002539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5395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539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39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">
    <w:name w:val="Char"/>
    <w:basedOn w:val="Normlny"/>
    <w:rsid w:val="00B67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4E8B"/>
    <w:pPr>
      <w:spacing w:before="60" w:after="6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st">
    <w:name w:val="st"/>
    <w:basedOn w:val="Predvolenpsmoodseku"/>
    <w:rsid w:val="00524E8B"/>
  </w:style>
  <w:style w:type="table" w:styleId="Mriekatabuky">
    <w:name w:val="Table Grid"/>
    <w:basedOn w:val="Normlnatabuka"/>
    <w:uiPriority w:val="59"/>
    <w:rsid w:val="00524E8B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524E8B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24E8B"/>
    <w:rPr>
      <w:rFonts w:eastAsiaTheme="minorEastAsia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E8B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zovChar">
    <w:name w:val="Názov Char"/>
    <w:link w:val="Nzov"/>
    <w:locked/>
    <w:rsid w:val="0048744B"/>
    <w:rPr>
      <w:rFonts w:ascii="Calibri" w:eastAsia="Calibri" w:hAnsi="Calibri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8744B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NzovChar1">
    <w:name w:val="Názov Char1"/>
    <w:basedOn w:val="Predvolenpsmoodseku"/>
    <w:uiPriority w:val="10"/>
    <w:rsid w:val="004874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semiHidden/>
    <w:rsid w:val="0025395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25395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2539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2539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har">
    <w:name w:val="Char"/>
    <w:basedOn w:val="Normlny"/>
    <w:rsid w:val="00B676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1366</Words>
  <Characters>7788</Characters>
  <Application>Microsoft Office Word</Application>
  <DocSecurity>8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Realizované projekty</vt:lpstr>
      <vt:lpstr>Správa o využití dotácie</vt:lpstr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Realizované projekty</dc:title>
  <dc:subject/>
  <dc:creator>MAS Csángó</dc:creator>
  <cp:keywords/>
  <dc:description/>
  <cp:lastModifiedBy>RRA</cp:lastModifiedBy>
  <cp:revision>4</cp:revision>
  <cp:lastPrinted>2014-08-05T12:49:00Z</cp:lastPrinted>
  <dcterms:created xsi:type="dcterms:W3CDTF">2014-08-05T12:48:00Z</dcterms:created>
  <dcterms:modified xsi:type="dcterms:W3CDTF">2014-08-05T12:53:00Z</dcterms:modified>
</cp:coreProperties>
</file>